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W w:w="89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407"/>
        <w:gridCol w:w="1093"/>
        <w:gridCol w:w="30"/>
        <w:gridCol w:w="1106"/>
        <w:gridCol w:w="6"/>
        <w:gridCol w:w="854"/>
        <w:gridCol w:w="1011"/>
        <w:gridCol w:w="82"/>
        <w:gridCol w:w="1094"/>
        <w:gridCol w:w="334"/>
        <w:gridCol w:w="747"/>
        <w:gridCol w:w="957"/>
      </w:tblGrid>
      <w:tr>
        <w:trPr>
          <w:trHeight w:val="508" w:hRule="atLeast"/>
        </w:trPr>
        <w:tc>
          <w:tcPr>
            <w:tcW w:w="5734" w:type="dxa"/>
            <w:gridSpan w:val="8"/>
            <w:tcBorders>
              <w:top w:val="nil"/>
              <w:left w:val="nil"/>
              <w:bottom w:val="nil"/>
              <w:right w:val="nil"/>
            </w:tcBorders>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 xml:space="preserve">鄂州市文学艺术界联合会 </w:t>
            </w:r>
          </w:p>
        </w:tc>
        <w:tc>
          <w:tcPr>
            <w:tcW w:w="3214" w:type="dxa"/>
            <w:gridSpan w:val="5"/>
            <w:tcBorders>
              <w:top w:val="nil"/>
              <w:left w:val="nil"/>
              <w:bottom w:val="single" w:color="auto" w:sz="4" w:space="0"/>
              <w:right w:val="nil"/>
            </w:tcBorders>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rPr>
          <w:trHeight w:val="487" w:hRule="atLeast"/>
        </w:trPr>
        <w:tc>
          <w:tcPr>
            <w:tcW w:w="122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3"/>
            <w:tcBorders>
              <w:top w:val="single" w:color="auto" w:sz="4" w:space="0"/>
              <w:left w:val="nil"/>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张裕钊诞辰200周年纪念活动</w:t>
            </w:r>
          </w:p>
        </w:tc>
        <w:tc>
          <w:tcPr>
            <w:tcW w:w="1112"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2"/>
            <w:tcBorders>
              <w:top w:val="single" w:color="auto" w:sz="4" w:space="0"/>
              <w:left w:val="nil"/>
              <w:bottom w:val="single" w:color="auto" w:sz="4" w:space="0"/>
              <w:right w:val="single" w:color="auto" w:sz="4" w:space="0"/>
            </w:tcBorders>
            <w:textDirection w:val="lrTb"/>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olor w:val="auto"/>
                <w:kern w:val="0"/>
              </w:rPr>
              <w:t>新增性</w:t>
            </w:r>
            <w:r>
              <w:rPr>
                <w:rFonts w:hint="eastAsia" w:ascii="仿宋_GB2312" w:hAnsi="仿宋_GB2312" w:eastAsia="仿宋_GB2312"/>
                <w:color w:val="auto"/>
                <w:kern w:val="0"/>
                <w:lang w:eastAsia="zh-CN"/>
              </w:rPr>
              <w:t>项目</w:t>
            </w:r>
          </w:p>
        </w:tc>
        <w:tc>
          <w:tcPr>
            <w:tcW w:w="1510" w:type="dxa"/>
            <w:gridSpan w:val="3"/>
            <w:tcBorders>
              <w:top w:val="nil"/>
              <w:left w:val="nil"/>
              <w:bottom w:val="single" w:color="auto" w:sz="4" w:space="0"/>
              <w:right w:val="single" w:color="auto" w:sz="4" w:space="0"/>
            </w:tcBorders>
            <w:textDirection w:val="lrTb"/>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gridSpan w:val="2"/>
            <w:tcBorders>
              <w:top w:val="nil"/>
              <w:left w:val="nil"/>
              <w:bottom w:val="single" w:color="auto" w:sz="4" w:space="0"/>
              <w:right w:val="single" w:color="auto" w:sz="4" w:space="0"/>
            </w:tcBorders>
            <w:textDirection w:val="lrTb"/>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olor w:val="auto"/>
                <w:kern w:val="0"/>
              </w:rPr>
              <w:t>一次性项</w:t>
            </w:r>
            <w:r>
              <w:rPr>
                <w:rFonts w:hint="eastAsia" w:ascii="仿宋_GB2312" w:hAnsi="仿宋_GB2312" w:eastAsia="仿宋_GB2312"/>
                <w:color w:val="auto"/>
                <w:kern w:val="0"/>
                <w:lang w:eastAsia="zh-CN"/>
              </w:rPr>
              <w:t>目</w:t>
            </w:r>
          </w:p>
        </w:tc>
      </w:tr>
      <w:tr>
        <w:trPr>
          <w:trHeight w:val="603" w:hRule="atLeast"/>
        </w:trPr>
        <w:tc>
          <w:tcPr>
            <w:tcW w:w="1227"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2"/>
            <w:tcBorders>
              <w:top w:val="single" w:color="auto" w:sz="4" w:space="0"/>
              <w:left w:val="nil"/>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认真贯彻落实习近平总书记关于中国特色社会主义文化建设的系列重要论述和省第十二次党代会精神，坚持创造性转化、创新性发展，弘扬传统文化，增强文化自信，充分挖掘我市书法资源，打造以张裕钊文化为特色的鄂州文化品牌，不断满足人民群众日益增长的文化需求。2023年是张裕钊诞辰200周年，为进一步将张裕钊文化研究引向深入，弘扬张裕钊文化，服务我市“两区一枢纽”建设，按照省文联、市委宣传部、市政协召开的联席座谈会精神，市文联制定《鄂州市纪念张裕钊诞辰200周年活动方案》，推进张裕钊诞辰200周年纪念活动开展。</w:t>
            </w:r>
          </w:p>
        </w:tc>
      </w:tr>
      <w:tr>
        <w:trPr>
          <w:trHeight w:val="603" w:hRule="atLeast"/>
        </w:trPr>
        <w:tc>
          <w:tcPr>
            <w:tcW w:w="1227"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2"/>
            <w:tcBorders>
              <w:top w:val="single" w:color="auto" w:sz="4" w:space="0"/>
              <w:left w:val="nil"/>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78万元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727"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进一步把张裕钊文化研究引向深入，弘扬张裕钊文化。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认真贯彻落实习近平总书记关于中国特色社会主义文化建设的系列重要论述和省第十二次党代会精神，坚持创造性转化、创新性发展，弘扬传统文化，增强文化自信。利用2023年是张裕钊诞辰200周年，结合此活动充分挖掘我市书法资源，打造以张裕钊文化为特色的鄂州文化品牌，不断满足人民群众日益增长的文化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长期绩效目标1</w:t>
            </w:r>
          </w:p>
        </w:tc>
        <w:tc>
          <w:tcPr>
            <w:tcW w:w="109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产出指标</w:t>
            </w:r>
          </w:p>
        </w:tc>
        <w:tc>
          <w:tcPr>
            <w:tcW w:w="1136" w:type="dxa"/>
            <w:gridSpan w:val="2"/>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数量指标</w:t>
            </w: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出版《张裕钊书法精品集》</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2000册</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rPr>
              <w:t>《张裕钊书法精品集》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举办张裕钊书法艺术研讨会，结集出版《张裕钊文化学术思想论文集》</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200本</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rPr>
              <w:t>《张裕钊文化学术思想论文集》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制作张裕钊专题宣传片</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时长25-30分钟</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在各新闻媒体和网络平台播出，将作为对外推介张裕钊文化的重要手段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举办“张裕钊书法艺术精品展”和“纪念张裕钊诞辰200周年书法交流展”</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书法作品120-150件</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拟展出张裕钊本人、其师友弟子传人及同时代碑体书法作品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质量指标</w:t>
            </w: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作品创作计划完成率</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100%</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作品创作计划完成情况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意识形态内容审核</w:t>
            </w:r>
          </w:p>
        </w:tc>
        <w:tc>
          <w:tcPr>
            <w:tcW w:w="1094" w:type="dxa"/>
            <w:textDirection w:val="lrTb"/>
            <w:vAlign w:val="center"/>
          </w:tcPr>
          <w:p>
            <w:pPr>
              <w:autoSpaceDN w:val="0"/>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良好</w:t>
            </w:r>
          </w:p>
        </w:tc>
        <w:tc>
          <w:tcPr>
            <w:tcW w:w="2038" w:type="dxa"/>
            <w:gridSpan w:val="3"/>
            <w:textDirection w:val="lrTb"/>
            <w:vAlign w:val="center"/>
          </w:tcPr>
          <w:p>
            <w:pPr>
              <w:autoSpaceDN w:val="0"/>
              <w:jc w:val="center"/>
              <w:textAlignment w:val="center"/>
              <w:rPr>
                <w:rFonts w:hint="eastAsia" w:ascii="仿宋_GB2312" w:hAnsi="仿宋_GB2312" w:eastAsia="仿宋_GB2312" w:cs="仿宋_GB2312"/>
                <w:b w:val="0"/>
                <w:i w:val="0"/>
                <w:color w:val="000000"/>
                <w:sz w:val="21"/>
                <w:szCs w:val="21"/>
                <w:u w:val="none"/>
                <w:lang w:eastAsia="zh-CN"/>
              </w:rPr>
            </w:pPr>
            <w:r>
              <w:rPr>
                <w:rFonts w:hint="eastAsia" w:ascii="仿宋_GB2312" w:hAnsi="仿宋_GB2312" w:eastAsia="仿宋_GB2312" w:cs="仿宋_GB2312"/>
                <w:b w:val="0"/>
                <w:i w:val="0"/>
                <w:color w:val="000000"/>
                <w:sz w:val="21"/>
                <w:szCs w:val="21"/>
                <w:u w:val="none"/>
                <w:lang w:eastAsia="zh-CN"/>
              </w:rPr>
              <w:t>活动内容审核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时效指标</w:t>
            </w: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作品创作计划按时完成率</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100%</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作品创作计划按时完成情况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成本指标</w:t>
            </w: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rPr>
              <w:t>预算执行率</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100%</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预算执行情况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2"/>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经济效益</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953" w:type="dxa"/>
            <w:gridSpan w:val="4"/>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94"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038" w:type="dxa"/>
            <w:gridSpan w:val="3"/>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社会效益</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造成社会反响的舆论或相关宣传报道</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良好、一般</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 xml:space="preserve">舆论或相关宣传报道情况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rPr>
              <w:t>促进鄂州市文学艺术事业繁荣</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rPr>
              <w:t>良好、一般</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rPr>
              <w:t>产生良好社会反响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生态效益</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953" w:type="dxa"/>
            <w:gridSpan w:val="4"/>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94" w:type="dxa"/>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2038" w:type="dxa"/>
            <w:gridSpan w:val="3"/>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可持续影响指标</w:t>
            </w:r>
          </w:p>
        </w:tc>
        <w:tc>
          <w:tcPr>
            <w:tcW w:w="1953" w:type="dxa"/>
            <w:gridSpan w:val="4"/>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创造性转化，创新性发展</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显著、较显著</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创造性转化，创新性发展情况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2"/>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服务对象满意度</w:t>
            </w:r>
          </w:p>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指标</w:t>
            </w:r>
          </w:p>
        </w:tc>
        <w:tc>
          <w:tcPr>
            <w:tcW w:w="1953" w:type="dxa"/>
            <w:gridSpan w:val="4"/>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服务对象满意率</w:t>
            </w:r>
          </w:p>
        </w:tc>
        <w:tc>
          <w:tcPr>
            <w:tcW w:w="1094" w:type="dxa"/>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100%</w:t>
            </w:r>
          </w:p>
        </w:tc>
        <w:tc>
          <w:tcPr>
            <w:tcW w:w="2038" w:type="dxa"/>
            <w:gridSpan w:val="3"/>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仿宋_GB2312" w:hAnsi="仿宋_GB2312" w:eastAsia="仿宋_GB2312" w:cs="仿宋_GB2312"/>
                <w:b w:val="0"/>
                <w:i w:val="0"/>
                <w:color w:val="000000"/>
                <w:sz w:val="21"/>
                <w:szCs w:val="21"/>
                <w:u w:val="none"/>
                <w:lang w:eastAsia="zh-CN"/>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68"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95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081"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957"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年度绩效目标1</w:t>
            </w:r>
          </w:p>
        </w:tc>
        <w:tc>
          <w:tcPr>
            <w:tcW w:w="1093" w:type="dxa"/>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产出指标</w:t>
            </w:r>
          </w:p>
        </w:tc>
        <w:tc>
          <w:tcPr>
            <w:tcW w:w="1136" w:type="dxa"/>
            <w:gridSpan w:val="2"/>
            <w:vMerge w:val="restart"/>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数量指标</w:t>
            </w:r>
          </w:p>
        </w:tc>
        <w:tc>
          <w:tcPr>
            <w:tcW w:w="860" w:type="dxa"/>
            <w:gridSpan w:val="2"/>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olor w:val="000000"/>
              </w:rPr>
              <w:t>出版《张裕钊书法精品集》</w:t>
            </w:r>
          </w:p>
        </w:tc>
        <w:tc>
          <w:tcPr>
            <w:tcW w:w="1093" w:type="dxa"/>
            <w:gridSpan w:val="2"/>
            <w:vAlign w:val="center"/>
          </w:tcPr>
          <w:p>
            <w:pPr>
              <w:widowControl/>
              <w:jc w:val="left"/>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94" w:type="dxa"/>
            <w:vAlign w:val="center"/>
          </w:tcPr>
          <w:p>
            <w:pPr>
              <w:widowControl/>
              <w:jc w:val="center"/>
              <w:rPr>
                <w:rFonts w:hint="eastAsia" w:ascii="仿宋_GB2312" w:hAnsi="仿宋_GB2312" w:eastAsia="仿宋_GB2312" w:cs="仿宋_GB2312"/>
                <w:kern w:val="0"/>
                <w:sz w:val="21"/>
                <w:szCs w:val="21"/>
              </w:rPr>
            </w:pPr>
            <w:r>
              <w:rPr>
                <w:rFonts w:hint="eastAsia" w:ascii="仿宋_GB2312" w:hAnsi="仿宋_GB2312" w:eastAsia="仿宋_GB2312" w:cs="仿宋_GB2312"/>
                <w:kern w:val="0"/>
                <w:sz w:val="21"/>
                <w:szCs w:val="21"/>
              </w:rPr>
              <w:t>　</w:t>
            </w:r>
          </w:p>
        </w:tc>
        <w:tc>
          <w:tcPr>
            <w:tcW w:w="1081" w:type="dxa"/>
            <w:gridSpan w:val="2"/>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宋体" w:hAnsi="宋体" w:eastAsia="宋体"/>
                <w:color w:val="000000"/>
                <w:sz w:val="20"/>
              </w:rPr>
              <w:t>2000册</w:t>
            </w:r>
          </w:p>
        </w:tc>
        <w:tc>
          <w:tcPr>
            <w:tcW w:w="957" w:type="dxa"/>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Droid Sans Fallback" w:hAnsi="宋体"/>
                <w:color w:val="000000"/>
                <w:sz w:val="20"/>
              </w:rPr>
              <w:t>《张裕钊书法精品集》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860" w:type="dxa"/>
            <w:gridSpan w:val="2"/>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olor w:val="000000"/>
              </w:rPr>
              <w:t>举办张裕钊书法艺术研讨会，结集出版《张裕钊文化学术思想论文集》</w:t>
            </w:r>
          </w:p>
        </w:tc>
        <w:tc>
          <w:tcPr>
            <w:tcW w:w="1093" w:type="dxa"/>
            <w:gridSpan w:val="2"/>
            <w:vAlign w:val="center"/>
          </w:tcPr>
          <w:p>
            <w:pPr>
              <w:widowControl/>
              <w:jc w:val="left"/>
              <w:rPr>
                <w:rFonts w:hint="eastAsia" w:ascii="仿宋_GB2312" w:hAnsi="仿宋_GB2312" w:eastAsia="仿宋_GB2312" w:cs="仿宋_GB2312"/>
                <w:kern w:val="0"/>
                <w:sz w:val="21"/>
                <w:szCs w:val="21"/>
              </w:rPr>
            </w:pPr>
          </w:p>
        </w:tc>
        <w:tc>
          <w:tcPr>
            <w:tcW w:w="1094" w:type="dxa"/>
            <w:vAlign w:val="center"/>
          </w:tcPr>
          <w:p>
            <w:pPr>
              <w:widowControl/>
              <w:jc w:val="center"/>
              <w:rPr>
                <w:rFonts w:hint="eastAsia" w:ascii="仿宋_GB2312" w:hAnsi="仿宋_GB2312" w:eastAsia="仿宋_GB2312" w:cs="仿宋_GB2312"/>
                <w:kern w:val="0"/>
                <w:sz w:val="21"/>
                <w:szCs w:val="21"/>
              </w:rPr>
            </w:pPr>
          </w:p>
        </w:tc>
        <w:tc>
          <w:tcPr>
            <w:tcW w:w="1081" w:type="dxa"/>
            <w:gridSpan w:val="2"/>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宋体" w:hAnsi="宋体" w:eastAsia="宋体"/>
                <w:color w:val="000000"/>
                <w:sz w:val="20"/>
              </w:rPr>
              <w:t>200本</w:t>
            </w:r>
          </w:p>
        </w:tc>
        <w:tc>
          <w:tcPr>
            <w:tcW w:w="957" w:type="dxa"/>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Droid Sans Fallback" w:hAnsi="宋体"/>
                <w:color w:val="000000"/>
                <w:sz w:val="20"/>
              </w:rPr>
              <w:t>《张裕钊文化学术思想论文集》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1093" w:type="dxa"/>
            <w:vMerge w:val="continue"/>
            <w:vAlign w:val="center"/>
          </w:tcPr>
          <w:p>
            <w:pPr>
              <w:widowControl/>
              <w:jc w:val="left"/>
              <w:rPr>
                <w:rFonts w:hint="eastAsia" w:ascii="仿宋_GB2312" w:hAnsi="仿宋_GB2312" w:eastAsia="仿宋_GB2312" w:cs="仿宋_GB2312"/>
                <w:kern w:val="0"/>
                <w:sz w:val="21"/>
                <w:szCs w:val="21"/>
              </w:rPr>
            </w:pPr>
          </w:p>
        </w:tc>
        <w:tc>
          <w:tcPr>
            <w:tcW w:w="1136" w:type="dxa"/>
            <w:gridSpan w:val="2"/>
            <w:vMerge w:val="continue"/>
            <w:vAlign w:val="center"/>
          </w:tcPr>
          <w:p>
            <w:pPr>
              <w:widowControl/>
              <w:jc w:val="left"/>
              <w:rPr>
                <w:rFonts w:hint="eastAsia" w:ascii="仿宋_GB2312" w:hAnsi="仿宋_GB2312" w:eastAsia="仿宋_GB2312" w:cs="仿宋_GB2312"/>
                <w:kern w:val="0"/>
                <w:sz w:val="21"/>
                <w:szCs w:val="21"/>
              </w:rPr>
            </w:pPr>
          </w:p>
        </w:tc>
        <w:tc>
          <w:tcPr>
            <w:tcW w:w="860" w:type="dxa"/>
            <w:gridSpan w:val="2"/>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仿宋_GB2312" w:hAnsi="仿宋_GB2312" w:eastAsia="仿宋_GB2312"/>
                <w:color w:val="000000"/>
              </w:rPr>
              <w:t>制作张裕钊专题宣传片</w:t>
            </w:r>
          </w:p>
        </w:tc>
        <w:tc>
          <w:tcPr>
            <w:tcW w:w="1093" w:type="dxa"/>
            <w:gridSpan w:val="2"/>
            <w:vAlign w:val="center"/>
          </w:tcPr>
          <w:p>
            <w:pPr>
              <w:widowControl/>
              <w:jc w:val="left"/>
              <w:rPr>
                <w:rFonts w:hint="eastAsia" w:ascii="仿宋_GB2312" w:hAnsi="仿宋_GB2312" w:eastAsia="仿宋_GB2312" w:cs="仿宋_GB2312"/>
                <w:kern w:val="0"/>
                <w:sz w:val="21"/>
                <w:szCs w:val="21"/>
              </w:rPr>
            </w:pPr>
          </w:p>
        </w:tc>
        <w:tc>
          <w:tcPr>
            <w:tcW w:w="1094" w:type="dxa"/>
            <w:vAlign w:val="center"/>
          </w:tcPr>
          <w:p>
            <w:pPr>
              <w:widowControl/>
              <w:jc w:val="center"/>
              <w:rPr>
                <w:rFonts w:hint="eastAsia" w:ascii="仿宋_GB2312" w:hAnsi="仿宋_GB2312" w:eastAsia="仿宋_GB2312" w:cs="仿宋_GB2312"/>
                <w:kern w:val="0"/>
                <w:sz w:val="21"/>
                <w:szCs w:val="21"/>
              </w:rPr>
            </w:pPr>
          </w:p>
        </w:tc>
        <w:tc>
          <w:tcPr>
            <w:tcW w:w="1081" w:type="dxa"/>
            <w:gridSpan w:val="2"/>
            <w:textDirection w:val="lrTb"/>
            <w:vAlign w:val="center"/>
          </w:tcPr>
          <w:p>
            <w:pPr>
              <w:autoSpaceDN w:val="0"/>
              <w:jc w:val="center"/>
              <w:textAlignment w:val="center"/>
              <w:rPr>
                <w:rFonts w:hint="eastAsia" w:ascii="仿宋_GB2312" w:hAnsi="仿宋_GB2312" w:eastAsia="仿宋_GB2312" w:cs="仿宋_GB2312"/>
                <w:kern w:val="0"/>
                <w:sz w:val="21"/>
                <w:szCs w:val="21"/>
              </w:rPr>
            </w:pPr>
            <w:r>
              <w:rPr>
                <w:rFonts w:hint="eastAsia" w:ascii="宋体" w:hAnsi="宋体" w:eastAsia="宋体"/>
                <w:color w:val="000000"/>
                <w:sz w:val="20"/>
              </w:rPr>
              <w:t>时长25-30分钟</w:t>
            </w:r>
          </w:p>
        </w:tc>
        <w:tc>
          <w:tcPr>
            <w:tcW w:w="957" w:type="dxa"/>
            <w:textDirection w:val="lrTb"/>
            <w:vAlign w:val="center"/>
          </w:tcPr>
          <w:p>
            <w:pPr>
              <w:autoSpaceDN w:val="0"/>
              <w:jc w:val="left"/>
              <w:textAlignment w:val="center"/>
              <w:rPr>
                <w:rFonts w:hint="eastAsia" w:ascii="仿宋_GB2312" w:hAnsi="仿宋_GB2312" w:eastAsia="仿宋_GB2312" w:cs="仿宋_GB2312"/>
                <w:kern w:val="0"/>
                <w:sz w:val="21"/>
                <w:szCs w:val="21"/>
              </w:rPr>
            </w:pPr>
            <w:r>
              <w:rPr>
                <w:rFonts w:hint="eastAsia" w:ascii="宋体" w:hAnsi="宋体" w:eastAsia="宋体"/>
                <w:color w:val="000000"/>
                <w:sz w:val="20"/>
              </w:rPr>
              <w:t>在各新闻媒体和网络平台播出，将作为对外推介张裕钊文化的重要手段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举办“张裕钊书法艺术精品展”和“纪念张裕钊诞辰200周年书法交流展”</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书法作品120-150件</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eastAsia" w:ascii="仿宋_GB2312" w:hAnsi="仿宋_GB2312" w:eastAsia="仿宋_GB2312"/>
                <w:color w:val="000000"/>
              </w:rPr>
              <w:t>拟展出张裕钊本人、其师友弟子传人及同时代碑体书法作品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作品创作计划完成率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意识形态内容审核</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良好</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活动内容审核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作品创作计划按时完成率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作品创作计划按时完成情况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预算执行率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预算执行情况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left"/>
              <w:textAlignment w:val="center"/>
              <w:rPr>
                <w:rFonts w:ascii="仿宋_GB2312" w:hAnsi="宋体" w:eastAsia="仿宋_GB2312" w:cs="Times New Roman"/>
                <w:kern w:val="0"/>
              </w:rPr>
            </w:pP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textDirection w:val="lrTb"/>
            <w:vAlign w:val="center"/>
          </w:tcPr>
          <w:p>
            <w:pPr>
              <w:autoSpaceDN w:val="0"/>
              <w:jc w:val="left"/>
              <w:textAlignment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造成社会反响的舆论或相关宣传报道</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良好、一般</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 xml:space="preserve">舆论或相关宣传报道情况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促进鄂州市文学艺术事业繁荣</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Tahoma" w:hAnsi="宋体"/>
                <w:color w:val="000000"/>
                <w:sz w:val="20"/>
              </w:rPr>
              <w:t>良好、一般</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Tahoma" w:hAnsi="宋体"/>
                <w:b w:val="0"/>
                <w:i w:val="0"/>
                <w:color w:val="000000"/>
                <w:sz w:val="20"/>
                <w:u w:val="none"/>
              </w:rPr>
              <w:t>产生良好社会反响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left"/>
              <w:textAlignment w:val="center"/>
              <w:rPr>
                <w:rFonts w:ascii="仿宋_GB2312" w:hAnsi="宋体" w:eastAsia="仿宋_GB2312" w:cs="Times New Roman"/>
                <w:kern w:val="0"/>
              </w:rPr>
            </w:pP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957" w:type="dxa"/>
            <w:textDirection w:val="lrTb"/>
            <w:vAlign w:val="center"/>
          </w:tcPr>
          <w:p>
            <w:pPr>
              <w:autoSpaceDN w:val="0"/>
              <w:jc w:val="left"/>
              <w:textAlignment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创造性转化，创新性发展</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显著、较显著</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创造性转化，创新性发展情况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left"/>
              <w:textAlignment w:val="center"/>
              <w:rPr>
                <w:rFonts w:ascii="仿宋_GB2312" w:hAnsi="宋体" w:eastAsia="仿宋_GB2312" w:cs="Times New Roman"/>
                <w:kern w:val="0"/>
              </w:rPr>
            </w:pPr>
            <w:r>
              <w:rPr>
                <w:rFonts w:hint="eastAsia" w:ascii="宋体" w:hAnsi="宋体" w:eastAsia="宋体"/>
                <w:color w:val="000000"/>
                <w:sz w:val="20"/>
              </w:rPr>
              <w:t>服务对象满意率</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eastAsia" w:ascii="宋体" w:hAnsi="宋体" w:eastAsia="宋体"/>
                <w:color w:val="000000"/>
                <w:sz w:val="20"/>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满意率</w:t>
            </w:r>
          </w:p>
        </w:tc>
      </w:tr>
      <w:tr>
        <w:trPr>
          <w:trHeight w:val="603" w:hRule="atLeast"/>
        </w:trPr>
        <w:tc>
          <w:tcPr>
            <w:tcW w:w="1634" w:type="dxa"/>
            <w:gridSpan w:val="2"/>
            <w:vMerge w:val="restart"/>
            <w:tcBorders>
              <w:top w:val="nil"/>
              <w:left w:val="single" w:color="auto" w:sz="4" w:space="0"/>
              <w:bottom w:val="single" w:color="auto" w:sz="4" w:space="0"/>
              <w:right w:val="nil"/>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1"/>
            <w:tcBorders>
              <w:top w:val="single" w:color="auto" w:sz="4" w:space="0"/>
              <w:left w:val="single" w:color="auto" w:sz="4" w:space="0"/>
              <w:bottom w:val="nil"/>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rPr>
          <w:trHeight w:val="847" w:hRule="atLeast"/>
        </w:trPr>
        <w:tc>
          <w:tcPr>
            <w:tcW w:w="1634" w:type="dxa"/>
            <w:gridSpan w:val="2"/>
            <w:vMerge w:val="continue"/>
            <w:tcBorders>
              <w:top w:val="nil"/>
              <w:left w:val="single" w:color="auto" w:sz="4" w:space="0"/>
              <w:bottom w:val="single" w:color="auto" w:sz="4" w:space="0"/>
              <w:right w:val="nil"/>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nil"/>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eastAsia="zh-CN"/>
              </w:rPr>
              <w:t>同意申报</w:t>
            </w:r>
            <w:r>
              <w:rPr>
                <w:rFonts w:hint="eastAsia" w:ascii="仿宋_GB2312" w:hAnsi="仿宋_GB2312" w:eastAsia="仿宋_GB2312" w:cs="仿宋_GB2312"/>
                <w:color w:val="auto"/>
                <w:kern w:val="0"/>
                <w:sz w:val="21"/>
                <w:szCs w:val="21"/>
              </w:rPr>
              <w:t xml:space="preserve">                                                                     </w:t>
            </w:r>
          </w:p>
        </w:tc>
      </w:tr>
      <w:tr>
        <w:trPr>
          <w:trHeight w:val="1218" w:hRule="atLeast"/>
        </w:trPr>
        <w:tc>
          <w:tcPr>
            <w:tcW w:w="1634" w:type="dxa"/>
            <w:gridSpan w:val="2"/>
            <w:vMerge w:val="continue"/>
            <w:tcBorders>
              <w:top w:val="nil"/>
              <w:left w:val="single" w:color="auto" w:sz="4" w:space="0"/>
              <w:bottom w:val="single" w:color="auto" w:sz="4" w:space="0"/>
              <w:right w:val="nil"/>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 w:name="Droid Sans Fallback">
    <w:altName w:val="微软雅黑"/>
    <w:panose1 w:val="00000000000000000000"/>
    <w:charset w:val="01"/>
    <w:family w:val="auto"/>
    <w:pitch w:val="default"/>
    <w:sig w:usb0="00000000" w:usb1="00000000" w:usb2="00000000"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Administrator</cp:lastModifiedBy>
  <cp:lastPrinted>2023-11-07T09:24:29Z</cp:lastPrinted>
  <dcterms:modified xsi:type="dcterms:W3CDTF">2023-11-07T09:24:50Z</dcterms:modified>
  <dc:title>项目绩效目标申报表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58246E038A894A6580A1DBF854195D43_11</vt:lpwstr>
  </property>
</Properties>
</file>